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CF3" w:rsidRPr="00335CF3" w:rsidRDefault="00335CF3" w:rsidP="00335CF3">
      <w:pPr>
        <w:rPr>
          <w:rFonts w:ascii="Times New Roman" w:hAnsi="Times New Roman" w:cs="Times New Roman"/>
          <w:color w:val="000000"/>
          <w:sz w:val="27"/>
          <w:szCs w:val="27"/>
        </w:rPr>
      </w:pPr>
      <w:r w:rsidRPr="00335CF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The Crucible</w:t>
      </w:r>
      <w:r w:rsidRPr="00335CF3">
        <w:rPr>
          <w:rFonts w:ascii="Times New Roman" w:hAnsi="Times New Roman" w:cs="Times New Roman"/>
          <w:b/>
          <w:bCs/>
          <w:color w:val="000000"/>
          <w:sz w:val="20"/>
          <w:szCs w:val="20"/>
        </w:rPr>
        <w:t> Essay Prompt</w:t>
      </w:r>
    </w:p>
    <w:p w:rsidR="00335CF3" w:rsidRPr="00335CF3" w:rsidRDefault="00335CF3" w:rsidP="00335CF3">
      <w:pPr>
        <w:rPr>
          <w:rFonts w:ascii="Times New Roman" w:hAnsi="Times New Roman" w:cs="Times New Roman"/>
          <w:color w:val="000000"/>
          <w:sz w:val="27"/>
          <w:szCs w:val="27"/>
        </w:rPr>
      </w:pPr>
      <w:r w:rsidRPr="00335CF3">
        <w:rPr>
          <w:rFonts w:ascii="Times New Roman" w:hAnsi="Times New Roman" w:cs="Times New Roman"/>
          <w:color w:val="000000"/>
          <w:sz w:val="20"/>
          <w:szCs w:val="20"/>
        </w:rPr>
        <w:t> </w:t>
      </w:r>
    </w:p>
    <w:p w:rsidR="00335CF3" w:rsidRPr="00335CF3" w:rsidRDefault="00335CF3" w:rsidP="00335CF3">
      <w:pPr>
        <w:rPr>
          <w:rFonts w:ascii="Times New Roman" w:hAnsi="Times New Roman" w:cs="Times New Roman"/>
          <w:color w:val="000000"/>
          <w:sz w:val="27"/>
          <w:szCs w:val="27"/>
        </w:rPr>
      </w:pPr>
      <w:r w:rsidRPr="00335CF3">
        <w:rPr>
          <w:rFonts w:ascii="Times New Roman" w:hAnsi="Times New Roman" w:cs="Times New Roman"/>
          <w:color w:val="000000"/>
          <w:sz w:val="20"/>
          <w:szCs w:val="20"/>
        </w:rPr>
        <w:t>Though Arthur Miller's play, </w:t>
      </w:r>
      <w:r w:rsidRPr="00335CF3">
        <w:rPr>
          <w:rFonts w:ascii="Times New Roman" w:hAnsi="Times New Roman" w:cs="Times New Roman"/>
          <w:i/>
          <w:iCs/>
          <w:color w:val="000000"/>
          <w:sz w:val="20"/>
          <w:szCs w:val="20"/>
        </w:rPr>
        <w:t>The Crucible</w:t>
      </w:r>
      <w:r w:rsidRPr="00335CF3">
        <w:rPr>
          <w:rFonts w:ascii="Times New Roman" w:hAnsi="Times New Roman" w:cs="Times New Roman"/>
          <w:color w:val="000000"/>
          <w:sz w:val="20"/>
          <w:szCs w:val="20"/>
        </w:rPr>
        <w:t xml:space="preserve">, is about the Salem Witch Trials, it functions as an </w:t>
      </w:r>
      <w:r w:rsidR="00036118" w:rsidRPr="00335CF3">
        <w:rPr>
          <w:rFonts w:ascii="Times New Roman" w:hAnsi="Times New Roman" w:cs="Times New Roman"/>
          <w:color w:val="000000"/>
          <w:sz w:val="20"/>
          <w:szCs w:val="20"/>
        </w:rPr>
        <w:t xml:space="preserve">allegorical commentary on McCarthyism </w:t>
      </w:r>
      <w:bookmarkStart w:id="0" w:name="_GoBack"/>
      <w:bookmarkEnd w:id="0"/>
      <w:r w:rsidRPr="00335CF3">
        <w:rPr>
          <w:rFonts w:ascii="Times New Roman" w:hAnsi="Times New Roman" w:cs="Times New Roman"/>
          <w:color w:val="000000"/>
          <w:sz w:val="20"/>
          <w:szCs w:val="20"/>
        </w:rPr>
        <w:t>and the Red Scare, of which Arthur Miller found himself at the center.  Miller refused to give names to the House Un-American Activities Committee, and he was held in contempt of Congress, fined, and temporarily blacklisted.</w:t>
      </w:r>
    </w:p>
    <w:p w:rsidR="00335CF3" w:rsidRPr="00335CF3" w:rsidRDefault="00335CF3" w:rsidP="00335CF3">
      <w:pPr>
        <w:rPr>
          <w:rFonts w:ascii="Times New Roman" w:hAnsi="Times New Roman" w:cs="Times New Roman"/>
          <w:color w:val="000000"/>
          <w:sz w:val="27"/>
          <w:szCs w:val="27"/>
        </w:rPr>
      </w:pPr>
      <w:r w:rsidRPr="00335CF3">
        <w:rPr>
          <w:rFonts w:ascii="Times New Roman" w:hAnsi="Times New Roman" w:cs="Times New Roman"/>
          <w:color w:val="000000"/>
          <w:sz w:val="27"/>
          <w:szCs w:val="27"/>
        </w:rPr>
        <w:t> </w:t>
      </w:r>
    </w:p>
    <w:p w:rsidR="00335CF3" w:rsidRPr="00335CF3" w:rsidRDefault="00335CF3" w:rsidP="00335CF3">
      <w:pPr>
        <w:rPr>
          <w:rFonts w:ascii="Times New Roman" w:hAnsi="Times New Roman" w:cs="Times New Roman"/>
          <w:color w:val="000000"/>
          <w:sz w:val="27"/>
          <w:szCs w:val="27"/>
        </w:rPr>
      </w:pPr>
      <w:r w:rsidRPr="00335CF3">
        <w:rPr>
          <w:rFonts w:ascii="Times New Roman" w:hAnsi="Times New Roman" w:cs="Times New Roman"/>
          <w:color w:val="000000"/>
          <w:sz w:val="20"/>
          <w:szCs w:val="20"/>
        </w:rPr>
        <w:t>You must do three things:  identify the purpose of John Steinbeck’s essay, analyze the strategies he uses in order to achieve his purpose, and draw comparisons between Steinbeck’s argument and specific aspects of Miller's play</w:t>
      </w:r>
      <w:r w:rsidRPr="00335CF3">
        <w:rPr>
          <w:rFonts w:ascii="Times New Roman" w:hAnsi="Times New Roman" w:cs="Times New Roman"/>
          <w:i/>
          <w:iCs/>
          <w:color w:val="000000"/>
          <w:sz w:val="20"/>
          <w:szCs w:val="20"/>
        </w:rPr>
        <w:t>, The Crucible</w:t>
      </w:r>
      <w:r w:rsidRPr="00335CF3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335CF3" w:rsidRPr="00335CF3" w:rsidRDefault="00335CF3" w:rsidP="00335CF3">
      <w:pPr>
        <w:rPr>
          <w:rFonts w:ascii="Times New Roman" w:hAnsi="Times New Roman" w:cs="Times New Roman"/>
          <w:color w:val="000000"/>
          <w:sz w:val="27"/>
          <w:szCs w:val="27"/>
        </w:rPr>
      </w:pPr>
      <w:r w:rsidRPr="00335CF3">
        <w:rPr>
          <w:rFonts w:ascii="Times New Roman" w:hAnsi="Times New Roman" w:cs="Times New Roman"/>
          <w:color w:val="000000"/>
          <w:sz w:val="20"/>
          <w:szCs w:val="20"/>
        </w:rPr>
        <w:t> </w:t>
      </w:r>
    </w:p>
    <w:p w:rsidR="00335CF3" w:rsidRPr="00335CF3" w:rsidRDefault="00335CF3" w:rsidP="00335CF3">
      <w:pPr>
        <w:rPr>
          <w:rFonts w:ascii="Times New Roman" w:hAnsi="Times New Roman" w:cs="Times New Roman"/>
          <w:color w:val="000000"/>
          <w:sz w:val="27"/>
          <w:szCs w:val="27"/>
        </w:rPr>
      </w:pPr>
      <w:r w:rsidRPr="00335CF3">
        <w:rPr>
          <w:rFonts w:ascii="Times New Roman" w:hAnsi="Times New Roman" w:cs="Times New Roman"/>
          <w:color w:val="000000"/>
          <w:sz w:val="20"/>
          <w:szCs w:val="20"/>
        </w:rPr>
        <w:t>Things to keep in mind:</w:t>
      </w:r>
    </w:p>
    <w:p w:rsidR="00335CF3" w:rsidRPr="00335CF3" w:rsidRDefault="00335CF3" w:rsidP="00335CF3">
      <w:pPr>
        <w:rPr>
          <w:rFonts w:ascii="Times New Roman" w:hAnsi="Times New Roman" w:cs="Times New Roman"/>
          <w:color w:val="000000"/>
          <w:sz w:val="27"/>
          <w:szCs w:val="27"/>
        </w:rPr>
      </w:pPr>
      <w:r w:rsidRPr="00335CF3">
        <w:rPr>
          <w:rFonts w:ascii="Times New Roman" w:hAnsi="Times New Roman" w:cs="Times New Roman"/>
          <w:color w:val="000000"/>
          <w:sz w:val="20"/>
          <w:szCs w:val="20"/>
        </w:rPr>
        <w:t>You might want to articulate a dual purpose.  This will help you develop a more nuanced discussion.</w:t>
      </w:r>
    </w:p>
    <w:p w:rsidR="00335CF3" w:rsidRPr="00335CF3" w:rsidRDefault="00335CF3" w:rsidP="00335CF3">
      <w:pPr>
        <w:rPr>
          <w:rFonts w:ascii="Times New Roman" w:hAnsi="Times New Roman" w:cs="Times New Roman"/>
          <w:color w:val="000000"/>
          <w:sz w:val="27"/>
          <w:szCs w:val="27"/>
        </w:rPr>
      </w:pPr>
      <w:r w:rsidRPr="00335CF3">
        <w:rPr>
          <w:rFonts w:ascii="Times New Roman" w:hAnsi="Times New Roman" w:cs="Times New Roman"/>
          <w:color w:val="000000"/>
          <w:sz w:val="20"/>
          <w:szCs w:val="20"/>
        </w:rPr>
        <w:t>To analyze means to break something down into its component parts in order to understand it more fully.</w:t>
      </w:r>
    </w:p>
    <w:p w:rsidR="00335CF3" w:rsidRPr="00335CF3" w:rsidRDefault="00335CF3" w:rsidP="00335CF3">
      <w:pPr>
        <w:rPr>
          <w:rFonts w:ascii="Times New Roman" w:hAnsi="Times New Roman" w:cs="Times New Roman"/>
          <w:color w:val="000000"/>
          <w:sz w:val="27"/>
          <w:szCs w:val="27"/>
        </w:rPr>
      </w:pPr>
      <w:r w:rsidRPr="00335CF3">
        <w:rPr>
          <w:rFonts w:ascii="Times New Roman" w:hAnsi="Times New Roman" w:cs="Times New Roman"/>
          <w:color w:val="000000"/>
          <w:sz w:val="20"/>
          <w:szCs w:val="20"/>
        </w:rPr>
        <w:t>To compare means to examine in order to discover similarities </w:t>
      </w:r>
      <w:r w:rsidRPr="00335CF3">
        <w:rPr>
          <w:rFonts w:ascii="Times New Roman" w:hAnsi="Times New Roman" w:cs="Times New Roman"/>
          <w:i/>
          <w:iCs/>
          <w:color w:val="000000"/>
          <w:sz w:val="20"/>
          <w:szCs w:val="20"/>
        </w:rPr>
        <w:t>and</w:t>
      </w:r>
      <w:r w:rsidRPr="00335CF3">
        <w:rPr>
          <w:rFonts w:ascii="Times New Roman" w:hAnsi="Times New Roman" w:cs="Times New Roman"/>
          <w:color w:val="000000"/>
          <w:sz w:val="20"/>
          <w:szCs w:val="20"/>
        </w:rPr>
        <w:t> differences.</w:t>
      </w:r>
    </w:p>
    <w:p w:rsidR="00335CF3" w:rsidRPr="00335CF3" w:rsidRDefault="00335CF3" w:rsidP="00335CF3">
      <w:pPr>
        <w:rPr>
          <w:rFonts w:ascii="Times New Roman" w:hAnsi="Times New Roman" w:cs="Times New Roman"/>
          <w:color w:val="000000"/>
          <w:sz w:val="27"/>
          <w:szCs w:val="27"/>
        </w:rPr>
      </w:pPr>
      <w:r w:rsidRPr="00335CF3">
        <w:rPr>
          <w:rFonts w:ascii="Times New Roman" w:hAnsi="Times New Roman" w:cs="Times New Roman"/>
          <w:color w:val="000000"/>
          <w:sz w:val="20"/>
          <w:szCs w:val="20"/>
        </w:rPr>
        <w:t>Avoid plot summary and generalities.</w:t>
      </w:r>
    </w:p>
    <w:p w:rsidR="00335CF3" w:rsidRPr="00335CF3" w:rsidRDefault="00335CF3" w:rsidP="00335CF3">
      <w:pPr>
        <w:rPr>
          <w:rFonts w:ascii="Times New Roman" w:hAnsi="Times New Roman" w:cs="Times New Roman"/>
          <w:color w:val="000000"/>
          <w:sz w:val="27"/>
          <w:szCs w:val="27"/>
        </w:rPr>
      </w:pPr>
      <w:r w:rsidRPr="00335CF3">
        <w:rPr>
          <w:rFonts w:ascii="Times New Roman" w:hAnsi="Times New Roman" w:cs="Times New Roman"/>
          <w:color w:val="000000"/>
          <w:sz w:val="20"/>
          <w:szCs w:val="20"/>
        </w:rPr>
        <w:t>  </w:t>
      </w:r>
    </w:p>
    <w:p w:rsidR="00335CF3" w:rsidRPr="00335CF3" w:rsidRDefault="00335CF3" w:rsidP="00335CF3">
      <w:pPr>
        <w:rPr>
          <w:rFonts w:ascii="Times New Roman" w:hAnsi="Times New Roman" w:cs="Times New Roman"/>
          <w:color w:val="000000"/>
          <w:sz w:val="27"/>
          <w:szCs w:val="27"/>
        </w:rPr>
      </w:pPr>
      <w:r w:rsidRPr="00335CF3">
        <w:rPr>
          <w:rFonts w:ascii="Times New Roman" w:hAnsi="Times New Roman" w:cs="Times New Roman"/>
          <w:color w:val="000000"/>
          <w:sz w:val="20"/>
          <w:szCs w:val="20"/>
        </w:rPr>
        <w:t>2 ½ - 3 pages</w:t>
      </w:r>
    </w:p>
    <w:p w:rsidR="00335CF3" w:rsidRPr="00335CF3" w:rsidRDefault="00335CF3" w:rsidP="00335CF3">
      <w:pPr>
        <w:rPr>
          <w:rFonts w:ascii="Times New Roman" w:hAnsi="Times New Roman" w:cs="Times New Roman"/>
          <w:color w:val="000000"/>
          <w:sz w:val="27"/>
          <w:szCs w:val="27"/>
        </w:rPr>
      </w:pPr>
      <w:r w:rsidRPr="00335CF3">
        <w:rPr>
          <w:rFonts w:ascii="Times New Roman" w:hAnsi="Times New Roman" w:cs="Times New Roman"/>
          <w:color w:val="000000"/>
          <w:sz w:val="20"/>
          <w:szCs w:val="20"/>
        </w:rPr>
        <w:t>Times New Roman </w:t>
      </w:r>
    </w:p>
    <w:p w:rsidR="00335CF3" w:rsidRPr="00335CF3" w:rsidRDefault="00335CF3" w:rsidP="00335CF3">
      <w:pPr>
        <w:rPr>
          <w:rFonts w:ascii="Times New Roman" w:hAnsi="Times New Roman" w:cs="Times New Roman"/>
          <w:color w:val="000000"/>
          <w:sz w:val="27"/>
          <w:szCs w:val="27"/>
        </w:rPr>
      </w:pPr>
      <w:proofErr w:type="gramStart"/>
      <w:r w:rsidRPr="00335CF3">
        <w:rPr>
          <w:rFonts w:ascii="Times New Roman" w:hAnsi="Times New Roman" w:cs="Times New Roman"/>
          <w:color w:val="000000"/>
          <w:sz w:val="20"/>
          <w:szCs w:val="20"/>
        </w:rPr>
        <w:t>12 point</w:t>
      </w:r>
      <w:proofErr w:type="gramEnd"/>
      <w:r w:rsidRPr="00335CF3">
        <w:rPr>
          <w:rFonts w:ascii="Times New Roman" w:hAnsi="Times New Roman" w:cs="Times New Roman"/>
          <w:color w:val="000000"/>
          <w:sz w:val="20"/>
          <w:szCs w:val="20"/>
        </w:rPr>
        <w:t xml:space="preserve"> font</w:t>
      </w:r>
    </w:p>
    <w:p w:rsidR="00335CF3" w:rsidRPr="00335CF3" w:rsidRDefault="00335CF3" w:rsidP="00335CF3">
      <w:pPr>
        <w:rPr>
          <w:rFonts w:ascii="Times New Roman" w:hAnsi="Times New Roman" w:cs="Times New Roman"/>
          <w:color w:val="000000"/>
          <w:sz w:val="27"/>
          <w:szCs w:val="27"/>
        </w:rPr>
      </w:pPr>
      <w:r w:rsidRPr="00335CF3">
        <w:rPr>
          <w:rFonts w:ascii="Times New Roman" w:hAnsi="Times New Roman" w:cs="Times New Roman"/>
          <w:color w:val="000000"/>
          <w:sz w:val="27"/>
          <w:szCs w:val="27"/>
        </w:rPr>
        <w:t> </w:t>
      </w:r>
    </w:p>
    <w:p w:rsidR="00335CF3" w:rsidRPr="00335CF3" w:rsidRDefault="00335CF3" w:rsidP="00335CF3">
      <w:pPr>
        <w:rPr>
          <w:rFonts w:ascii="Times New Roman" w:hAnsi="Times New Roman" w:cs="Times New Roman"/>
          <w:color w:val="000000"/>
          <w:sz w:val="27"/>
          <w:szCs w:val="27"/>
        </w:rPr>
      </w:pPr>
      <w:r w:rsidRPr="00335CF3">
        <w:rPr>
          <w:rFonts w:ascii="Times New Roman" w:hAnsi="Times New Roman" w:cs="Times New Roman"/>
          <w:color w:val="000000"/>
          <w:sz w:val="20"/>
          <w:szCs w:val="20"/>
        </w:rPr>
        <w:t>MLA format    </w:t>
      </w:r>
    </w:p>
    <w:p w:rsidR="00335CF3" w:rsidRPr="00335CF3" w:rsidRDefault="00335CF3" w:rsidP="00335CF3">
      <w:pPr>
        <w:rPr>
          <w:rFonts w:ascii="Times New Roman" w:hAnsi="Times New Roman" w:cs="Times New Roman"/>
          <w:color w:val="000000"/>
          <w:sz w:val="27"/>
          <w:szCs w:val="27"/>
        </w:rPr>
      </w:pPr>
      <w:r w:rsidRPr="00335CF3">
        <w:rPr>
          <w:rFonts w:ascii="Times New Roman" w:hAnsi="Times New Roman" w:cs="Times New Roman"/>
          <w:color w:val="000000"/>
          <w:sz w:val="27"/>
          <w:szCs w:val="27"/>
        </w:rPr>
        <w:t> </w:t>
      </w:r>
    </w:p>
    <w:p w:rsidR="00335CF3" w:rsidRPr="00335CF3" w:rsidRDefault="00335CF3" w:rsidP="00335CF3">
      <w:pPr>
        <w:rPr>
          <w:rFonts w:ascii="Times New Roman" w:hAnsi="Times New Roman" w:cs="Times New Roman"/>
          <w:color w:val="000000"/>
          <w:sz w:val="27"/>
          <w:szCs w:val="27"/>
        </w:rPr>
      </w:pPr>
      <w:r w:rsidRPr="00335CF3">
        <w:rPr>
          <w:rFonts w:ascii="Times New Roman" w:hAnsi="Times New Roman" w:cs="Times New Roman"/>
          <w:color w:val="000000"/>
          <w:sz w:val="20"/>
          <w:szCs w:val="20"/>
        </w:rPr>
        <w:t>You will be assessed on your use of language and evidence, your analysis of Steinbeck’s essay and Miller’s play, the structure of your argument, and format.  </w:t>
      </w:r>
    </w:p>
    <w:p w:rsidR="00927553" w:rsidRDefault="00927553"/>
    <w:sectPr w:rsidR="00927553" w:rsidSect="009275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CF3"/>
    <w:rsid w:val="00036118"/>
    <w:rsid w:val="00335CF3"/>
    <w:rsid w:val="0092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C503EC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35CF3"/>
  </w:style>
  <w:style w:type="character" w:styleId="Emphasis">
    <w:name w:val="Emphasis"/>
    <w:basedOn w:val="DefaultParagraphFont"/>
    <w:uiPriority w:val="20"/>
    <w:qFormat/>
    <w:rsid w:val="00335CF3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35CF3"/>
  </w:style>
  <w:style w:type="character" w:styleId="Emphasis">
    <w:name w:val="Emphasis"/>
    <w:basedOn w:val="DefaultParagraphFont"/>
    <w:uiPriority w:val="20"/>
    <w:qFormat/>
    <w:rsid w:val="00335CF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3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179</Words>
  <Characters>1024</Characters>
  <Application>Microsoft Macintosh Word</Application>
  <DocSecurity>0</DocSecurity>
  <Lines>8</Lines>
  <Paragraphs>2</Paragraphs>
  <ScaleCrop>false</ScaleCrop>
  <Company>Penn-Trafford</Company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Spada</dc:creator>
  <cp:keywords/>
  <dc:description/>
  <cp:lastModifiedBy>Sharon Spada</cp:lastModifiedBy>
  <cp:revision>1</cp:revision>
  <cp:lastPrinted>2015-09-24T12:44:00Z</cp:lastPrinted>
  <dcterms:created xsi:type="dcterms:W3CDTF">2015-09-24T12:32:00Z</dcterms:created>
  <dcterms:modified xsi:type="dcterms:W3CDTF">2015-09-24T16:38:00Z</dcterms:modified>
</cp:coreProperties>
</file>